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0F8288E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2-15-2102/2025</w:t>
      </w:r>
    </w:p>
    <w:p w:rsidR="00D86E9F" w:rsidRPr="00D86E9F" w:rsidP="00D86E9F" w14:paraId="35FC1AD0" w14:textId="2DC3085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C761B" w:rsidR="000C761B">
        <w:rPr>
          <w:rFonts w:ascii="Times New Roman" w:hAnsi="Times New Roman" w:cs="Times New Roman"/>
          <w:bCs/>
          <w:sz w:val="24"/>
          <w:szCs w:val="24"/>
        </w:rPr>
        <w:t>86MS0042-01-2024-008349-75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63139E7C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0C761B">
        <w:rPr>
          <w:sz w:val="26"/>
          <w:szCs w:val="26"/>
        </w:rPr>
        <w:t>03 февраля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53005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0F49DF">
        <w:rPr>
          <w:rFonts w:ascii="Times New Roman" w:hAnsi="Times New Roman" w:cs="Times New Roman"/>
          <w:sz w:val="26"/>
          <w:szCs w:val="26"/>
        </w:rPr>
        <w:t>Сергуниной Татьяне Валерьевне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9DF" w:rsidRPr="009C68E0" w:rsidP="000F49DF" w14:paraId="5E794529" w14:textId="7532E50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D01A6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Сергуниной Татьяне Валерьевне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RPr="00523F33" w:rsidP="000F49DF" w14:paraId="253F7FE2" w14:textId="22D573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 xml:space="preserve">Сергуниной Татьяны Валерьевны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3A65E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пользу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Нижневартовск,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Менделеева, д. 30А (площадь помещения 37,90 кв.м.) пропорционально доли в праве общей долевой собственности, 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01.07.2020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5333,33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просрочку обязательств по уплате взноса на капитальный ремонт за период с 01.07.2020 по 30.04.2023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533,33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не присутствовали в судебном заседании.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D01A6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0DB20422" w14:textId="64C2C0FA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715E4"/>
    <w:rsid w:val="00380471"/>
    <w:rsid w:val="00387937"/>
    <w:rsid w:val="003A0E3F"/>
    <w:rsid w:val="003A65EC"/>
    <w:rsid w:val="003D5213"/>
    <w:rsid w:val="003E25AE"/>
    <w:rsid w:val="004375DC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C68E0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444CF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